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399" w:rsidRPr="002E2281" w:rsidRDefault="00202C49" w:rsidP="004D0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  <w:r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 xml:space="preserve"> </w:t>
      </w:r>
      <w:r w:rsidR="004D0399"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«</w:t>
      </w:r>
      <w:proofErr w:type="spellStart"/>
      <w:r w:rsidR="004D0399"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Меж</w:t>
      </w:r>
      <w:bookmarkStart w:id="0" w:name="_GoBack"/>
      <w:bookmarkEnd w:id="0"/>
      <w:r w:rsidR="004D0399"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предметный</w:t>
      </w:r>
      <w:proofErr w:type="spellEnd"/>
      <w:r w:rsidR="004D0399"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 xml:space="preserve"> образовательный   модуль </w:t>
      </w:r>
    </w:p>
    <w:p w:rsidR="004D0399" w:rsidRPr="002E2281" w:rsidRDefault="004D0399" w:rsidP="004D0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  <w:r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как средство развития</w:t>
      </w:r>
    </w:p>
    <w:p w:rsidR="004D0399" w:rsidRPr="002E2281" w:rsidRDefault="004D0399" w:rsidP="004D0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  <w:r w:rsidRPr="002E2281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>функциональной грамотности младших школьников»</w:t>
      </w:r>
    </w:p>
    <w:p w:rsidR="004D0399" w:rsidRPr="002E2281" w:rsidRDefault="004D0399" w:rsidP="004D0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0399" w:rsidRDefault="004D0399" w:rsidP="004D03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0399" w:rsidRPr="002A5B31" w:rsidRDefault="004D0399" w:rsidP="004D03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5B31">
        <w:rPr>
          <w:rFonts w:ascii="Times New Roman" w:hAnsi="Times New Roman" w:cs="Times New Roman"/>
          <w:sz w:val="24"/>
          <w:szCs w:val="24"/>
        </w:rPr>
        <w:t>«Говори не о том, что прочел, а о том, что понял. </w:t>
      </w:r>
    </w:p>
    <w:p w:rsidR="004D0399" w:rsidRPr="002A5B31" w:rsidRDefault="004D0399" w:rsidP="004D03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5B31">
        <w:rPr>
          <w:rFonts w:ascii="Times New Roman" w:hAnsi="Times New Roman" w:cs="Times New Roman"/>
          <w:sz w:val="24"/>
          <w:szCs w:val="24"/>
        </w:rPr>
        <w:t>Практические дела всегда говорят громче, чем слова»</w:t>
      </w:r>
    </w:p>
    <w:p w:rsidR="004D0399" w:rsidRPr="002A5B31" w:rsidRDefault="004D0399" w:rsidP="004D039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A5B31">
        <w:rPr>
          <w:rFonts w:ascii="Times New Roman" w:hAnsi="Times New Roman" w:cs="Times New Roman"/>
          <w:sz w:val="24"/>
          <w:szCs w:val="24"/>
        </w:rPr>
        <w:t>Китайская народная мудрость</w:t>
      </w:r>
    </w:p>
    <w:p w:rsidR="004D0399" w:rsidRPr="00C8306C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школой </w:t>
      </w:r>
      <w:r w:rsidRPr="0071479E">
        <w:rPr>
          <w:rFonts w:ascii="Times New Roman" w:hAnsi="Times New Roman" w:cs="Times New Roman"/>
          <w:sz w:val="24"/>
          <w:szCs w:val="24"/>
        </w:rPr>
        <w:t>стоит важная задача научить учащихся применять в жизни знания, полученные в школе. Растет потребность в людях, умеющих самостоятельно принимать решения, быстро адаптироваться к изменениям, происходящим в мире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479E">
        <w:rPr>
          <w:rFonts w:ascii="Times New Roman" w:hAnsi="Times New Roman" w:cs="Times New Roman"/>
          <w:sz w:val="24"/>
          <w:szCs w:val="24"/>
        </w:rPr>
        <w:t xml:space="preserve"> инициативных и </w:t>
      </w:r>
      <w:r w:rsidRPr="00C8306C">
        <w:rPr>
          <w:sz w:val="24"/>
          <w:szCs w:val="24"/>
        </w:rPr>
        <w:t>изобретательных.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Pr="00C8306C">
        <w:rPr>
          <w:rFonts w:ascii="Times New Roman" w:hAnsi="Times New Roman" w:cs="Times New Roman"/>
          <w:sz w:val="24"/>
          <w:szCs w:val="24"/>
        </w:rPr>
        <w:t xml:space="preserve"> так необходимо также уделять большое внимание функциональной грамотности наших детей, в целом всего подрастающего поколения. Это важно, чтобы наши дети были адаптированы к современной жизни».</w:t>
      </w:r>
    </w:p>
    <w:p w:rsidR="004D0399" w:rsidRPr="00AF1846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20A">
        <w:rPr>
          <w:rFonts w:ascii="Times New Roman" w:hAnsi="Times New Roman" w:cs="Times New Roman"/>
          <w:sz w:val="24"/>
          <w:szCs w:val="24"/>
        </w:rPr>
        <w:t>Межпредмет</w:t>
      </w:r>
      <w:r w:rsidRPr="002A5B3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образовательный модуль</w:t>
      </w:r>
      <w:r w:rsidRPr="002A5B31">
        <w:rPr>
          <w:rFonts w:ascii="Times New Roman" w:hAnsi="Times New Roman" w:cs="Times New Roman"/>
          <w:sz w:val="24"/>
          <w:szCs w:val="24"/>
        </w:rPr>
        <w:t xml:space="preserve"> - это  организованная  деятельность младших   школьников по решению учебной задачи. </w:t>
      </w:r>
      <w:r>
        <w:rPr>
          <w:rFonts w:ascii="Times New Roman" w:hAnsi="Times New Roman" w:cs="Times New Roman"/>
          <w:sz w:val="24"/>
          <w:szCs w:val="24"/>
        </w:rPr>
        <w:t xml:space="preserve">Модуль </w:t>
      </w:r>
      <w:r w:rsidRPr="002A5B31">
        <w:rPr>
          <w:rFonts w:ascii="Times New Roman" w:hAnsi="Times New Roman" w:cs="Times New Roman"/>
          <w:sz w:val="24"/>
          <w:szCs w:val="24"/>
        </w:rPr>
        <w:t xml:space="preserve"> ориентирован на развитие познавательной деятельности школьников, что стало возможным при помощи взаимодействия учителей, </w:t>
      </w:r>
      <w:r w:rsidRPr="00AF1846">
        <w:rPr>
          <w:rFonts w:ascii="Times New Roman" w:hAnsi="Times New Roman" w:cs="Times New Roman"/>
          <w:sz w:val="24"/>
          <w:szCs w:val="24"/>
        </w:rPr>
        <w:t>создания интегративной среды разных учебных дисциплин.</w:t>
      </w:r>
      <w:r>
        <w:rPr>
          <w:rFonts w:ascii="Times New Roman" w:hAnsi="Times New Roman" w:cs="Times New Roman"/>
          <w:sz w:val="24"/>
          <w:szCs w:val="24"/>
        </w:rPr>
        <w:t xml:space="preserve"> При этом появляется</w:t>
      </w:r>
      <w:r w:rsidRPr="00AF1846">
        <w:rPr>
          <w:rFonts w:ascii="Times New Roman" w:hAnsi="Times New Roman" w:cs="Times New Roman"/>
          <w:bCs/>
          <w:iCs/>
          <w:sz w:val="24"/>
          <w:szCs w:val="24"/>
        </w:rPr>
        <w:t xml:space="preserve"> возможность создания комфортного состояния для младших школьников при обучении. Расширяется объем знаний без увеличения времени, отводимого для их усвоения. Оказывает</w:t>
      </w:r>
      <w:r>
        <w:rPr>
          <w:rFonts w:ascii="Times New Roman" w:hAnsi="Times New Roman" w:cs="Times New Roman"/>
          <w:bCs/>
          <w:iCs/>
          <w:sz w:val="24"/>
          <w:szCs w:val="24"/>
        </w:rPr>
        <w:t>ся</w:t>
      </w:r>
      <w:r w:rsidRPr="00AF1846">
        <w:rPr>
          <w:rFonts w:ascii="Times New Roman" w:hAnsi="Times New Roman" w:cs="Times New Roman"/>
          <w:bCs/>
          <w:iCs/>
          <w:sz w:val="24"/>
          <w:szCs w:val="24"/>
        </w:rPr>
        <w:t xml:space="preserve"> положительное влияние на физическое и психическое здоровье детей, повышает</w:t>
      </w:r>
      <w:r>
        <w:rPr>
          <w:rFonts w:ascii="Times New Roman" w:hAnsi="Times New Roman" w:cs="Times New Roman"/>
          <w:bCs/>
          <w:iCs/>
          <w:sz w:val="24"/>
          <w:szCs w:val="24"/>
        </w:rPr>
        <w:t>ся</w:t>
      </w:r>
      <w:r w:rsidRPr="00AF1846">
        <w:rPr>
          <w:rFonts w:ascii="Times New Roman" w:hAnsi="Times New Roman" w:cs="Times New Roman"/>
          <w:bCs/>
          <w:iCs/>
          <w:sz w:val="24"/>
          <w:szCs w:val="24"/>
        </w:rPr>
        <w:t xml:space="preserve"> мотиваци</w:t>
      </w:r>
      <w:r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AF1846">
        <w:rPr>
          <w:rFonts w:ascii="Times New Roman" w:hAnsi="Times New Roman" w:cs="Times New Roman"/>
          <w:bCs/>
          <w:iCs/>
          <w:sz w:val="24"/>
          <w:szCs w:val="24"/>
        </w:rPr>
        <w:t xml:space="preserve"> в учебе.</w:t>
      </w:r>
    </w:p>
    <w:p w:rsidR="004D0399" w:rsidRPr="00AF1846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Обучающимся интересно и</w:t>
      </w:r>
      <w:r w:rsidRPr="00A806F6">
        <w:rPr>
          <w:rFonts w:ascii="Times New Roman" w:hAnsi="Times New Roman" w:cs="Times New Roman"/>
          <w:sz w:val="24"/>
          <w:szCs w:val="24"/>
        </w:rPr>
        <w:t xml:space="preserve"> важно посмотреть на предмет или явление с разных сторон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806F6">
        <w:rPr>
          <w:rFonts w:ascii="Times New Roman" w:hAnsi="Times New Roman" w:cs="Times New Roman"/>
          <w:sz w:val="24"/>
          <w:szCs w:val="24"/>
        </w:rPr>
        <w:t xml:space="preserve">Стремление к интеграции учебного материала является естественной и ведущей </w:t>
      </w:r>
      <w:r>
        <w:rPr>
          <w:rFonts w:ascii="Times New Roman" w:hAnsi="Times New Roman" w:cs="Times New Roman"/>
          <w:sz w:val="24"/>
          <w:szCs w:val="24"/>
        </w:rPr>
        <w:t>линией</w:t>
      </w:r>
      <w:r w:rsidRPr="00A806F6">
        <w:rPr>
          <w:rFonts w:ascii="Times New Roman" w:hAnsi="Times New Roman" w:cs="Times New Roman"/>
          <w:sz w:val="24"/>
          <w:szCs w:val="24"/>
        </w:rPr>
        <w:t xml:space="preserve"> образовательного процесса. </w:t>
      </w:r>
      <w:r w:rsidRPr="00AF1846">
        <w:rPr>
          <w:rFonts w:ascii="Times New Roman" w:hAnsi="Times New Roman" w:cs="Times New Roman"/>
          <w:sz w:val="24"/>
          <w:szCs w:val="24"/>
        </w:rPr>
        <w:t>Она может обеспечить формирование у ребенка таких умений, которые позволили бы ему без особых трудностей продолжить дальнейшее образование. </w:t>
      </w:r>
    </w:p>
    <w:p w:rsidR="004D0399" w:rsidRPr="00AF1846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разработали алгоритм создания таких тематических блоков, которые способствуют формированию функциональной грамотности у младших школьников.</w:t>
      </w:r>
    </w:p>
    <w:p w:rsidR="008B0D7E" w:rsidRPr="00B9334A" w:rsidRDefault="008B0D7E" w:rsidP="008B0D7E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34A">
        <w:rPr>
          <w:rFonts w:ascii="Times New Roman" w:hAnsi="Times New Roman" w:cs="Times New Roman"/>
          <w:b/>
          <w:sz w:val="24"/>
          <w:szCs w:val="24"/>
        </w:rPr>
        <w:t xml:space="preserve">Алгоритм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Тема 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Входная диагностика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Цели и задачи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A5B31">
        <w:rPr>
          <w:rFonts w:ascii="Times New Roman" w:hAnsi="Times New Roman" w:cs="Times New Roman"/>
          <w:sz w:val="24"/>
          <w:szCs w:val="24"/>
        </w:rPr>
        <w:t xml:space="preserve">Интеграция предметов       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2A5B31">
        <w:rPr>
          <w:rFonts w:ascii="Times New Roman" w:hAnsi="Times New Roman" w:cs="Times New Roman"/>
          <w:sz w:val="24"/>
          <w:szCs w:val="24"/>
        </w:rPr>
        <w:t xml:space="preserve">Проблемная ситуация или реальная жизненная ситуация         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2A5B31">
        <w:rPr>
          <w:rFonts w:ascii="Times New Roman" w:hAnsi="Times New Roman" w:cs="Times New Roman"/>
          <w:sz w:val="24"/>
          <w:szCs w:val="24"/>
        </w:rPr>
        <w:t xml:space="preserve">Определение формы проведения         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2A5B31">
        <w:rPr>
          <w:rFonts w:ascii="Times New Roman" w:hAnsi="Times New Roman" w:cs="Times New Roman"/>
          <w:sz w:val="24"/>
          <w:szCs w:val="24"/>
        </w:rPr>
        <w:t xml:space="preserve">Подбор заданий           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2A5B31">
        <w:rPr>
          <w:rFonts w:ascii="Times New Roman" w:hAnsi="Times New Roman" w:cs="Times New Roman"/>
          <w:sz w:val="24"/>
          <w:szCs w:val="24"/>
        </w:rPr>
        <w:t xml:space="preserve">Реализация             </w:t>
      </w:r>
    </w:p>
    <w:p w:rsidR="008B0D7E" w:rsidRDefault="008B0D7E" w:rsidP="008B0D7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2A5B31">
        <w:rPr>
          <w:rFonts w:ascii="Times New Roman" w:hAnsi="Times New Roman" w:cs="Times New Roman"/>
          <w:sz w:val="24"/>
          <w:szCs w:val="24"/>
        </w:rPr>
        <w:t>Рефлексия</w:t>
      </w:r>
    </w:p>
    <w:p w:rsidR="00562A1F" w:rsidRDefault="00562A1F" w:rsidP="004D03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5B31">
        <w:rPr>
          <w:rFonts w:ascii="Times New Roman" w:hAnsi="Times New Roman" w:cs="Times New Roman"/>
          <w:sz w:val="24"/>
          <w:szCs w:val="24"/>
        </w:rPr>
        <w:t>Выбор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5B31">
        <w:rPr>
          <w:rFonts w:ascii="Times New Roman" w:hAnsi="Times New Roman" w:cs="Times New Roman"/>
          <w:sz w:val="24"/>
          <w:szCs w:val="24"/>
        </w:rPr>
        <w:t xml:space="preserve">тематических блоков целенаправлен и связан с решением жизненных практических задач. На этапе выбора тем, мы просматриваем рабочие программы, выбираем, какие темы можно объединить между собой </w:t>
      </w:r>
      <w:proofErr w:type="gramStart"/>
      <w:r w:rsidRPr="002A5B31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корректируем</w:t>
      </w:r>
      <w:proofErr w:type="gramEnd"/>
      <w:r>
        <w:rPr>
          <w:rFonts w:ascii="Times New Roman" w:hAnsi="Times New Roman" w:cs="Times New Roman"/>
          <w:sz w:val="24"/>
          <w:szCs w:val="24"/>
        </w:rPr>
        <w:t>, при необходимости, КТП.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определения темы проводится входная диагностика, целью которой является установление зоны знания и незнания, а также умения применять знания  по теме в реальной жизненной ситуации. Диагностика проводится  форме анкетирования и наблюдений учителя. По результатам диагностики определяется цель, задачи и планируемые результаты, выбираются</w:t>
      </w:r>
      <w:r w:rsidRPr="00817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17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объединяются предметные блоки.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2A5B31">
        <w:rPr>
          <w:rFonts w:ascii="Times New Roman" w:hAnsi="Times New Roman" w:cs="Times New Roman"/>
          <w:sz w:val="24"/>
          <w:szCs w:val="24"/>
        </w:rPr>
        <w:t>Каждый блок включает в себя интеграцию нескольких пред</w:t>
      </w:r>
      <w:r>
        <w:rPr>
          <w:rFonts w:ascii="Times New Roman" w:hAnsi="Times New Roman" w:cs="Times New Roman"/>
          <w:sz w:val="24"/>
          <w:szCs w:val="24"/>
        </w:rPr>
        <w:t>метов, объединенных одной темой, направленных на решение общих задач, формирование УУД. Рассмотрим на примере создания тематических блоков в 3 классе.</w:t>
      </w:r>
    </w:p>
    <w:p w:rsidR="004D0399" w:rsidRPr="002A5B31" w:rsidRDefault="004D0399" w:rsidP="004D03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58"/>
        <w:gridCol w:w="1144"/>
        <w:gridCol w:w="832"/>
        <w:gridCol w:w="833"/>
        <w:gridCol w:w="833"/>
        <w:gridCol w:w="833"/>
        <w:gridCol w:w="832"/>
        <w:gridCol w:w="833"/>
        <w:gridCol w:w="833"/>
        <w:gridCol w:w="833"/>
      </w:tblGrid>
      <w:tr w:rsidR="004D0399" w:rsidRPr="002A5B31" w:rsidTr="00185106">
        <w:tc>
          <w:tcPr>
            <w:tcW w:w="1658" w:type="dxa"/>
            <w:vMerge w:val="restart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Тематический блок</w:t>
            </w:r>
          </w:p>
        </w:tc>
        <w:tc>
          <w:tcPr>
            <w:tcW w:w="1144" w:type="dxa"/>
            <w:vMerge w:val="restart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Период проведения</w:t>
            </w:r>
          </w:p>
        </w:tc>
        <w:tc>
          <w:tcPr>
            <w:tcW w:w="6662" w:type="dxa"/>
            <w:gridSpan w:val="8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Интеграция предметов</w:t>
            </w:r>
          </w:p>
        </w:tc>
      </w:tr>
      <w:tr w:rsidR="004D0399" w:rsidRPr="002A5B31" w:rsidTr="00185106">
        <w:tc>
          <w:tcPr>
            <w:tcW w:w="1658" w:type="dxa"/>
            <w:vMerge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Лит.чт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Рус.яз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 xml:space="preserve">Матем 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Окр.</w:t>
            </w:r>
          </w:p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Англ.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Внеур.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Физ- ра</w:t>
            </w: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В школу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Школа маленьких волшебников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Новогодний переполох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Будь  здоров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399" w:rsidRPr="002A5B31" w:rsidTr="00185106">
        <w:tc>
          <w:tcPr>
            <w:tcW w:w="1658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</w:p>
        </w:tc>
        <w:tc>
          <w:tcPr>
            <w:tcW w:w="1144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3" w:type="dxa"/>
          </w:tcPr>
          <w:p w:rsidR="004D0399" w:rsidRPr="002A5B31" w:rsidRDefault="004D0399" w:rsidP="001851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3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4D0399" w:rsidRPr="002A5B31" w:rsidRDefault="004D0399" w:rsidP="004D039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A5B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399" w:rsidRPr="005D4C23" w:rsidRDefault="004D0399" w:rsidP="004D0399">
      <w:pPr>
        <w:pStyle w:val="a4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5D4C23">
        <w:rPr>
          <w:rFonts w:ascii="Times New Roman" w:hAnsi="Times New Roman"/>
          <w:b/>
          <w:sz w:val="24"/>
          <w:szCs w:val="28"/>
        </w:rPr>
        <w:t>Алгоритм  работы над тематическим  блоком «Путешествие».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Путешествовать — это не всегда простая задача. Некоторые люди после поездки, даже если она занимает много времени, чувствуют заряд сил, хотя и устали. Для других же путь, на который тратится более часа, — уже путешествие. Они не очень довольны, если нужно куда-то ехать, ведь вдруг что-нибудь случится в незнакомой обстановке, а они не смогут с этим справиться.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Определив тему блока, составляется анкета, вопросы и ситуации которой направлены на выявление зоны знания и незнания, определения ключевых направлений деятельности. Вопросы анкеты включают в себя 2 блока – это решение конкретных жизненных ситуаций и нестандартных жизненных ситуаций.  Каждый вопрос и задание анкеты составлены так, чтобы была возможность отследить уровень сформированности  необходимых нам предметных и метапредметных знаний и умений и функциональной грамотности.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Таким образом, цель образовательного модуля - способствовать формированию функциональной грамотности через тематический блок «Путешествие»</w:t>
      </w:r>
    </w:p>
    <w:p w:rsidR="004D0399" w:rsidRDefault="004D0399" w:rsidP="004D039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На этапе вхождения в образовательный модуль ребятам предлагаются разные виды билетов. Их задача считать информацию с билета и составить кластер «Что смогли узнать, прочитав билет». Каждая группа знакомит со своим видом билета. Учитель ориентирует детей на выбор билета, необходимого для путешествия, таким образом, вводя детей в ситуацию.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Далее, основываясь на жизненный опыт детей, составляется алгоритм путешествия и выстраивается предметная  работа модуля.</w:t>
      </w:r>
    </w:p>
    <w:p w:rsidR="004D0399" w:rsidRDefault="004D0399" w:rsidP="004D03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На уроке окружающего мира по теме «Систематизация знаний «Природные зоны России» ребята, работая в импровизированных туристических агентствах, продумывают и реализуют проект «Рекламный буклет», в котором должны рассказать и показать все положительные стороны выбора заданной им природной зоны. А при защите проекта -аргументировано убедить в выборе именно этого направления для путешествия.</w:t>
      </w:r>
    </w:p>
    <w:p w:rsidR="004D0399" w:rsidRDefault="004D0399" w:rsidP="004D0399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Русский язык «Покупка билета. Информация о городе»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После выбора маршрута мы отправляемся в кассу за покупкой билета. На уроке русского языка перед детьми касса орфограмм, куда дети должны распределить слова, так или иначе связанные с темой модуля. Далее дети, находясь непосредственно у кассы, должны сформулировать правильное обращение, чтобы купить билет. Для этого группам дается текст этого обращения, разрезанный на отдельные слова. Дети знакомятся с информацией о городе, который собираются посетить через работу с текстами. После получения информации о городе, учащиеся работают в Яндекс-учебнике, где подобраны специальные задания на понимание и знание прочитанных текстов. (Приложение 2)</w:t>
      </w:r>
    </w:p>
    <w:p w:rsidR="004D0399" w:rsidRDefault="004D0399" w:rsidP="004D0399">
      <w:pPr>
        <w:jc w:val="both"/>
        <w:rPr>
          <w:rFonts w:ascii="Times New Roman" w:hAnsi="Times New Roman"/>
          <w:sz w:val="24"/>
          <w:szCs w:val="28"/>
        </w:rPr>
      </w:pPr>
    </w:p>
    <w:p w:rsidR="004D0399" w:rsidRDefault="004D0399" w:rsidP="004D0399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Математика «Дорога в аэропорт. В аэропорту»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Группы получают маршрутную квитанцию. Решая предложенные практические задачи, дети заполняют ответы в маршрутную квитанцию, на месте контроля проверяется учителем, участники </w:t>
      </w:r>
      <w:proofErr w:type="gramStart"/>
      <w:r>
        <w:rPr>
          <w:rFonts w:ascii="Times New Roman" w:hAnsi="Times New Roman"/>
          <w:sz w:val="24"/>
          <w:szCs w:val="28"/>
        </w:rPr>
        <w:t>получают  посадочный</w:t>
      </w:r>
      <w:proofErr w:type="gramEnd"/>
      <w:r>
        <w:rPr>
          <w:rFonts w:ascii="Times New Roman" w:hAnsi="Times New Roman"/>
          <w:sz w:val="24"/>
          <w:szCs w:val="28"/>
        </w:rPr>
        <w:t xml:space="preserve"> талон с указанием места. Входя в самолет (парты и стулья пронумерованы), участники занимают места, согласно приобретенным билетам. (Приложение 3)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 рамках внеурочной деятельности дети, находясь в салоне самолета, вспоминают, знакомятся с правилами техники безопасности, поведения и культуры общения. Учитель выступает в роли стюардессы, создавая различные ситуации по теме «В самолете»</w:t>
      </w: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На стадии рефлексии детям предлагается ответить на те же самые вопросы анкеты, которые были даны в начале модуля, проиграть нестандартные жизненные ситуации, предложить свои пути положительного выхода из них.  </w:t>
      </w:r>
      <w:bookmarkStart w:id="1" w:name="_Toc32315590"/>
    </w:p>
    <w:p w:rsidR="004D0399" w:rsidRPr="001C420A" w:rsidRDefault="004D0399" w:rsidP="004D0399">
      <w:pPr>
        <w:pStyle w:val="a4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1C420A">
        <w:rPr>
          <w:rFonts w:ascii="Times New Roman" w:hAnsi="Times New Roman" w:cs="Times New Roman"/>
          <w:b/>
          <w:sz w:val="24"/>
          <w:szCs w:val="24"/>
        </w:rPr>
        <w:t>Заключение</w:t>
      </w:r>
      <w:bookmarkEnd w:id="1"/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4D0399" w:rsidRDefault="004D0399" w:rsidP="004D0399">
      <w:pPr>
        <w:pStyle w:val="a4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  окончании межпредметных образовательных модулей дети получают не только знания, но и метапредметные умения, которые смогут применить в конкретных жизненных ситуациях. Использование в системе</w:t>
      </w:r>
      <w:r w:rsidRPr="001D259E">
        <w:rPr>
          <w:rFonts w:ascii="Times New Roman" w:hAnsi="Times New Roman"/>
          <w:sz w:val="24"/>
          <w:szCs w:val="28"/>
        </w:rPr>
        <w:t xml:space="preserve"> межпредметн</w:t>
      </w:r>
      <w:r>
        <w:rPr>
          <w:rFonts w:ascii="Times New Roman" w:hAnsi="Times New Roman"/>
          <w:sz w:val="24"/>
          <w:szCs w:val="28"/>
        </w:rPr>
        <w:t>ого</w:t>
      </w:r>
      <w:r w:rsidRPr="001D259E">
        <w:rPr>
          <w:rFonts w:ascii="Times New Roman" w:hAnsi="Times New Roman"/>
          <w:sz w:val="24"/>
          <w:szCs w:val="28"/>
        </w:rPr>
        <w:t xml:space="preserve"> образовательн</w:t>
      </w:r>
      <w:r>
        <w:rPr>
          <w:rFonts w:ascii="Times New Roman" w:hAnsi="Times New Roman"/>
          <w:sz w:val="24"/>
          <w:szCs w:val="28"/>
        </w:rPr>
        <w:t xml:space="preserve">ого модуля в урочной и внеурочной деятельности способствует формированию устойчивых умений высказывать предположения, строить доказательства. Обучающиеся овладевают навыками смыслового чтения, получают возможность для развития умения работать с моделями, диаграммами, таблицами, схемами. У детей формируется навык решения задач, требующих анализа и обобщения, а так же  на интерпретацию информации. </w:t>
      </w:r>
    </w:p>
    <w:p w:rsidR="004D0399" w:rsidRDefault="004D0399" w:rsidP="004D039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Таким образом, </w:t>
      </w:r>
      <w:r w:rsidRPr="00144EA9">
        <w:rPr>
          <w:rFonts w:ascii="Times New Roman" w:hAnsi="Times New Roman"/>
          <w:sz w:val="24"/>
          <w:szCs w:val="28"/>
        </w:rPr>
        <w:t xml:space="preserve">межпредметный образовательный модуль является одним из эффективных средств для формирования </w:t>
      </w:r>
      <w:proofErr w:type="gramStart"/>
      <w:r w:rsidRPr="00144EA9">
        <w:rPr>
          <w:rFonts w:ascii="Times New Roman" w:hAnsi="Times New Roman"/>
          <w:sz w:val="24"/>
          <w:szCs w:val="28"/>
        </w:rPr>
        <w:t>функциональной  грамотности</w:t>
      </w:r>
      <w:proofErr w:type="gramEnd"/>
      <w:r w:rsidRPr="00144EA9">
        <w:rPr>
          <w:rFonts w:ascii="Times New Roman" w:hAnsi="Times New Roman"/>
          <w:sz w:val="24"/>
          <w:szCs w:val="28"/>
        </w:rPr>
        <w:t xml:space="preserve"> мл</w:t>
      </w:r>
      <w:r>
        <w:rPr>
          <w:rFonts w:ascii="Times New Roman" w:hAnsi="Times New Roman"/>
          <w:sz w:val="24"/>
          <w:szCs w:val="28"/>
        </w:rPr>
        <w:t>а</w:t>
      </w:r>
      <w:r w:rsidRPr="00144EA9">
        <w:rPr>
          <w:rFonts w:ascii="Times New Roman" w:hAnsi="Times New Roman"/>
          <w:sz w:val="24"/>
          <w:szCs w:val="28"/>
        </w:rPr>
        <w:t>д</w:t>
      </w:r>
      <w:r>
        <w:rPr>
          <w:rFonts w:ascii="Times New Roman" w:hAnsi="Times New Roman"/>
          <w:sz w:val="24"/>
          <w:szCs w:val="28"/>
        </w:rPr>
        <w:t>ших</w:t>
      </w:r>
      <w:r w:rsidRPr="00144EA9">
        <w:rPr>
          <w:rFonts w:ascii="Times New Roman" w:hAnsi="Times New Roman"/>
          <w:sz w:val="24"/>
          <w:szCs w:val="28"/>
        </w:rPr>
        <w:t xml:space="preserve"> школьников</w:t>
      </w:r>
      <w:r>
        <w:rPr>
          <w:rFonts w:ascii="Times New Roman" w:hAnsi="Times New Roman"/>
          <w:sz w:val="24"/>
          <w:szCs w:val="28"/>
        </w:rPr>
        <w:t>.</w:t>
      </w:r>
      <w:bookmarkStart w:id="2" w:name="_Toc32315591"/>
      <w:bookmarkEnd w:id="2"/>
    </w:p>
    <w:p w:rsidR="00E532B8" w:rsidRDefault="00202C49"/>
    <w:sectPr w:rsidR="00E532B8" w:rsidSect="004B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399"/>
    <w:rsid w:val="0017044A"/>
    <w:rsid w:val="00202C49"/>
    <w:rsid w:val="003A15EE"/>
    <w:rsid w:val="003F63FC"/>
    <w:rsid w:val="004B6DB7"/>
    <w:rsid w:val="004D0399"/>
    <w:rsid w:val="004D0CD3"/>
    <w:rsid w:val="00562A1F"/>
    <w:rsid w:val="0058491B"/>
    <w:rsid w:val="005A3441"/>
    <w:rsid w:val="006468AA"/>
    <w:rsid w:val="006D6088"/>
    <w:rsid w:val="008B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FC89"/>
  <w15:docId w15:val="{13F72D08-3EA6-48CC-80FC-48FA19D6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4D039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A1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1123</Words>
  <Characters>6407</Characters>
  <Application>Microsoft Office Word</Application>
  <DocSecurity>0</DocSecurity>
  <Lines>53</Lines>
  <Paragraphs>15</Paragraphs>
  <ScaleCrop>false</ScaleCrop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2021-04-12T08:12:00Z</dcterms:created>
  <dcterms:modified xsi:type="dcterms:W3CDTF">2022-09-06T16:47:00Z</dcterms:modified>
</cp:coreProperties>
</file>